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0406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509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Шарипова Абдуманнона Абдулатифовича, </w:t>
      </w:r>
      <w:r>
        <w:rPr>
          <w:rStyle w:val="cat-User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февраля 2025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в </w:t>
      </w:r>
      <w:r>
        <w:rPr>
          <w:rStyle w:val="cat-User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Шарипов А.А. управляя транспортным средством «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hyperlink r:id="rId4" w:anchor="dst1000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 оборудованными с применением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устройств или материалов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 Основных положений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перед выездом не осмотрел транспортное средство и не увидел, что номер заснежен,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ункту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8"/>
          <w:szCs w:val="28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примечанием к статье 12.2 КоАП РФ государственный регистрационный знак признается нестандартным, если он не соответствует требованиям, установленным в соответствии с законодательством о техническом </w:t>
      </w:r>
      <w:r>
        <w:rPr>
          <w:rFonts w:ascii="Times New Roman" w:eastAsia="Times New Roman" w:hAnsi="Times New Roman" w:cs="Times New Roman"/>
          <w:sz w:val="28"/>
          <w:szCs w:val="28"/>
        </w:rPr>
        <w:t>регулировании, и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Шариповым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646614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февраля 2025 года в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Шарипов А.А. управляя транспортным средством «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hyperlink r:id="rId4" w:anchor="dst1000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видоизмененными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или оборудованными с применением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000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устройств или материалов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 Основных положений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УМВД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водительского удостоверения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ТС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фототаблицей;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А.А</w:t>
      </w:r>
      <w:r>
        <w:rPr>
          <w:rFonts w:ascii="Times New Roman" w:eastAsia="Times New Roman" w:hAnsi="Times New Roman" w:cs="Times New Roman"/>
          <w:sz w:val="28"/>
          <w:szCs w:val="28"/>
        </w:rPr>
        <w:t>.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верно квалифицированы по ч.2 ст. 12.2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признание вины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ответственность, 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 Абдуманнона Абдулатифовича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оплачивать на номер счета получателя платежа 03100643000000018700 в РКЦ Ханты-Мансийск; БИК 007162163;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718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; ИНН 860 101 0390; КПП 860 101 001;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 01140; кор. /сч. 40102810245370000007. Получатель: УФК по ХМАО-Югре (УМВД </w:t>
      </w:r>
      <w:r>
        <w:rPr>
          <w:rStyle w:val="cat-UserDefinedgrp-34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20"/>
        <w:jc w:val="both"/>
      </w:pPr>
    </w:p>
    <w:p>
      <w:pPr>
        <w:spacing w:before="0" w:after="0"/>
        <w:ind w:left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left="567" w:firstLine="284"/>
        <w:jc w:val="both"/>
      </w:pP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 xml:space="preserve">я судебного участка № 5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ХМАО-Югры Т.И. Зиннурова</w:t>
      </w:r>
      <w:r>
        <w:rPr>
          <w:rFonts w:ascii="Times New Roman" w:eastAsia="Times New Roman" w:hAnsi="Times New Roman" w:cs="Times New Roman"/>
          <w:u w:val="single"/>
        </w:rPr>
        <w:t>________________________</w:t>
      </w:r>
    </w:p>
    <w:p>
      <w:pPr>
        <w:spacing w:before="0" w:after="0"/>
        <w:ind w:left="567" w:firstLine="284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</w:rPr>
        <w:t>0406</w:t>
      </w:r>
      <w:r>
        <w:rPr>
          <w:rFonts w:ascii="Times New Roman" w:eastAsia="Times New Roman" w:hAnsi="Times New Roman" w:cs="Times New Roman"/>
        </w:rPr>
        <w:t>/260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/2025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</w:t>
      </w:r>
      <w:r>
        <w:rPr>
          <w:rFonts w:ascii="Times New Roman" w:eastAsia="Times New Roman" w:hAnsi="Times New Roman" w:cs="Times New Roman"/>
        </w:rPr>
        <w:t>о ареста на срок до пятнадцати дней</w:t>
      </w:r>
      <w:r>
        <w:rPr>
          <w:rFonts w:ascii="Times New Roman" w:eastAsia="Times New Roman" w:hAnsi="Times New Roman" w:cs="Times New Roman"/>
        </w:rPr>
        <w:t>, либо обязательных работ на срок до пятидесяти часов.</w:t>
      </w:r>
    </w:p>
    <w:p>
      <w:pPr>
        <w:spacing w:before="0" w:after="160" w:line="259" w:lineRule="auto"/>
        <w:ind w:firstLine="567"/>
        <w:jc w:val="both"/>
      </w:pPr>
      <w:r>
        <w:rPr>
          <w:rFonts w:ascii="Calibri" w:eastAsia="Calibri" w:hAnsi="Calibri" w:cs="Calibri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rFonts w:ascii="Times New Roman" w:eastAsia="Times New Roman" w:hAnsi="Times New Roman" w:cs="Times New Roman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 w:line="259" w:lineRule="auto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4rplc-46">
    <w:name w:val="cat-UserDefined grp-34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